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26" w:rsidRDefault="008D31B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BB328E" w:rsidRPr="00AF4704">
        <w:rPr>
          <w:b/>
          <w:sz w:val="36"/>
          <w:szCs w:val="36"/>
        </w:rPr>
        <w:t xml:space="preserve">Specifikace a podmínky plnění zakázky </w:t>
      </w:r>
    </w:p>
    <w:p w:rsidR="00B81C26" w:rsidRPr="00B81C26" w:rsidRDefault="00B81C26">
      <w:pPr>
        <w:rPr>
          <w:b/>
          <w:sz w:val="36"/>
          <w:szCs w:val="36"/>
        </w:rPr>
      </w:pPr>
    </w:p>
    <w:p w:rsidR="00D83A95" w:rsidRDefault="00D83A95" w:rsidP="00D83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Předmětem této veřejné zakázky je </w:t>
      </w:r>
      <w:r w:rsidRPr="00D83A95">
        <w:rPr>
          <w:rFonts w:ascii="Calibri" w:hAnsi="Calibri" w:cs="Calibri"/>
          <w:b/>
          <w:sz w:val="24"/>
          <w:szCs w:val="24"/>
        </w:rPr>
        <w:t>zajištění dodávek a distribuce elektrické energie</w:t>
      </w:r>
      <w:r>
        <w:rPr>
          <w:rFonts w:ascii="Calibri" w:hAnsi="Calibri" w:cs="Calibri"/>
          <w:sz w:val="24"/>
          <w:szCs w:val="24"/>
        </w:rPr>
        <w:t xml:space="preserve"> pro budovy zadavatele specifikovan</w:t>
      </w:r>
      <w:r w:rsidR="00BC660F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 xml:space="preserve"> v přílohách této zadávací dokumentace v </w:t>
      </w:r>
      <w:r w:rsidRPr="00D83A95">
        <w:rPr>
          <w:rFonts w:ascii="Calibri" w:hAnsi="Calibri" w:cs="Calibri"/>
          <w:b/>
          <w:sz w:val="24"/>
          <w:szCs w:val="24"/>
        </w:rPr>
        <w:t>období od 1. 1. 2020 do 31. 12. 2020</w:t>
      </w:r>
      <w:r>
        <w:rPr>
          <w:rFonts w:ascii="Calibri" w:hAnsi="Calibri" w:cs="Calibri"/>
          <w:sz w:val="24"/>
          <w:szCs w:val="24"/>
        </w:rPr>
        <w:t>, a to v souladu s požadavky zadavatele stanovenými v této zadávací dokumentaci.</w:t>
      </w:r>
    </w:p>
    <w:p w:rsidR="00D80070" w:rsidRDefault="00D80070" w:rsidP="00D800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0070" w:rsidRDefault="00D80070" w:rsidP="00D800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CPV kód: 09310000-5 - Elektrická energie</w:t>
      </w:r>
    </w:p>
    <w:p w:rsidR="0067657B" w:rsidRDefault="0067657B" w:rsidP="00D16567">
      <w:pPr>
        <w:spacing w:after="0" w:line="240" w:lineRule="auto"/>
      </w:pPr>
    </w:p>
    <w:p w:rsidR="00D83A95" w:rsidRDefault="00D83A95" w:rsidP="00D83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Veřejná zakázka obsahuje </w:t>
      </w:r>
      <w:r>
        <w:rPr>
          <w:rFonts w:ascii="Calibri-Bold" w:hAnsi="Calibri-Bold" w:cs="Calibri-Bold"/>
          <w:b/>
          <w:bCs/>
          <w:sz w:val="24"/>
          <w:szCs w:val="24"/>
        </w:rPr>
        <w:t>dvě samostatné oblasti plnění</w:t>
      </w:r>
      <w:r>
        <w:rPr>
          <w:rFonts w:ascii="Calibri" w:hAnsi="Calibri" w:cs="Calibri"/>
          <w:sz w:val="24"/>
          <w:szCs w:val="24"/>
        </w:rPr>
        <w:t>.</w:t>
      </w:r>
    </w:p>
    <w:p w:rsidR="00D83A95" w:rsidRDefault="00D83A95" w:rsidP="00D83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0070" w:rsidRDefault="00D83A95" w:rsidP="00D800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První oblast veřejné zakázky je odběrné místo Kanice 176, Brno venkov a odběrné místo Řícmanice. Pro účely přípravy nabídky na toto místo zadavatel uvádí, že předpokládaný roční odběr pro odběrné místo Kanice v </w:t>
      </w:r>
      <w:r w:rsidR="00D80070">
        <w:rPr>
          <w:rFonts w:ascii="Calibri" w:hAnsi="Calibri" w:cs="Calibri"/>
          <w:sz w:val="24"/>
          <w:szCs w:val="24"/>
        </w:rPr>
        <w:t>roce</w:t>
      </w:r>
      <w:r>
        <w:rPr>
          <w:rFonts w:ascii="Calibri" w:hAnsi="Calibri" w:cs="Calibri"/>
          <w:sz w:val="24"/>
          <w:szCs w:val="24"/>
        </w:rPr>
        <w:t xml:space="preserve"> 201</w:t>
      </w:r>
      <w:r w:rsidR="00D80070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je </w:t>
      </w:r>
      <w:r w:rsidR="00D80070">
        <w:rPr>
          <w:rFonts w:ascii="Calibri" w:hAnsi="Calibri" w:cs="Calibri"/>
          <w:sz w:val="24"/>
          <w:szCs w:val="24"/>
        </w:rPr>
        <w:t>5</w:t>
      </w:r>
      <w:r w:rsidR="00BC660F">
        <w:rPr>
          <w:rFonts w:ascii="Calibri" w:hAnsi="Calibri" w:cs="Calibri"/>
          <w:sz w:val="24"/>
          <w:szCs w:val="24"/>
        </w:rPr>
        <w:t>80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MWh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D80070">
        <w:rPr>
          <w:rFonts w:ascii="Calibri" w:hAnsi="Calibri" w:cs="Calibri"/>
          <w:sz w:val="24"/>
          <w:szCs w:val="24"/>
        </w:rPr>
        <w:t xml:space="preserve">Přehled spotřeby </w:t>
      </w:r>
      <w:r>
        <w:rPr>
          <w:rFonts w:ascii="Calibri" w:hAnsi="Calibri" w:cs="Calibri"/>
          <w:sz w:val="24"/>
          <w:szCs w:val="24"/>
        </w:rPr>
        <w:t xml:space="preserve">pro odběrné místo </w:t>
      </w:r>
      <w:r w:rsidR="00D80070">
        <w:rPr>
          <w:rFonts w:ascii="Calibri" w:hAnsi="Calibri" w:cs="Calibri"/>
          <w:sz w:val="24"/>
          <w:szCs w:val="24"/>
        </w:rPr>
        <w:t xml:space="preserve">Kanice </w:t>
      </w:r>
      <w:r>
        <w:rPr>
          <w:rFonts w:ascii="Calibri" w:hAnsi="Calibri" w:cs="Calibri"/>
          <w:sz w:val="24"/>
          <w:szCs w:val="24"/>
        </w:rPr>
        <w:t>je uveden v příloze č. 1 zadávací dokumentace</w:t>
      </w:r>
      <w:r w:rsidR="00640B81">
        <w:rPr>
          <w:rFonts w:ascii="Calibri" w:hAnsi="Calibri" w:cs="Calibri"/>
          <w:sz w:val="24"/>
          <w:szCs w:val="24"/>
        </w:rPr>
        <w:t xml:space="preserve">; distribuční sazba: </w:t>
      </w:r>
      <w:r w:rsidR="00640B81" w:rsidRPr="00640B81">
        <w:rPr>
          <w:b/>
          <w:sz w:val="24"/>
          <w:szCs w:val="24"/>
          <w:highlight w:val="green"/>
        </w:rPr>
        <w:t>napěťová úroveň 22kV (VN); typ měření A</w:t>
      </w:r>
      <w:r w:rsidRPr="00640B81">
        <w:rPr>
          <w:rFonts w:ascii="Calibri" w:hAnsi="Calibri" w:cs="Calibri"/>
          <w:sz w:val="24"/>
          <w:szCs w:val="24"/>
        </w:rPr>
        <w:t>.</w:t>
      </w:r>
      <w:r w:rsidR="00D80070">
        <w:rPr>
          <w:rFonts w:ascii="Calibri" w:hAnsi="Calibri" w:cs="Calibri"/>
          <w:sz w:val="24"/>
          <w:szCs w:val="24"/>
        </w:rPr>
        <w:t xml:space="preserve"> Předpokládaný roční odběr pro odběrné místo Řícmanice v roce 2018 je 7,2 </w:t>
      </w:r>
      <w:proofErr w:type="spellStart"/>
      <w:r w:rsidR="00D80070">
        <w:rPr>
          <w:rFonts w:ascii="Calibri" w:hAnsi="Calibri" w:cs="Calibri"/>
          <w:sz w:val="24"/>
          <w:szCs w:val="24"/>
        </w:rPr>
        <w:t>MWh</w:t>
      </w:r>
      <w:proofErr w:type="spellEnd"/>
      <w:r w:rsidR="00D80070">
        <w:rPr>
          <w:rFonts w:ascii="Calibri" w:hAnsi="Calibri" w:cs="Calibri"/>
          <w:sz w:val="24"/>
          <w:szCs w:val="24"/>
        </w:rPr>
        <w:t>. Přehled spotřeby pro odběrné místo Řícmanice je uveden v příloze č. 2 zadávací dokumentace</w:t>
      </w:r>
      <w:r w:rsidR="00640B81">
        <w:rPr>
          <w:rFonts w:ascii="Calibri" w:hAnsi="Calibri" w:cs="Calibri"/>
          <w:sz w:val="24"/>
          <w:szCs w:val="24"/>
        </w:rPr>
        <w:t xml:space="preserve">; </w:t>
      </w:r>
      <w:r w:rsidR="00640B81" w:rsidRPr="00640B81">
        <w:rPr>
          <w:rFonts w:ascii="Calibri" w:hAnsi="Calibri" w:cs="Calibri"/>
          <w:b/>
          <w:sz w:val="24"/>
          <w:szCs w:val="24"/>
          <w:highlight w:val="green"/>
        </w:rPr>
        <w:t>distribuční sazba: C25d</w:t>
      </w:r>
      <w:r w:rsidR="00D80070">
        <w:rPr>
          <w:rFonts w:ascii="Calibri" w:hAnsi="Calibri" w:cs="Calibri"/>
          <w:sz w:val="24"/>
          <w:szCs w:val="24"/>
        </w:rPr>
        <w:t xml:space="preserve">. </w:t>
      </w:r>
    </w:p>
    <w:p w:rsidR="00D83A95" w:rsidRDefault="00D83A95" w:rsidP="00D800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3A95" w:rsidRDefault="00D83A95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Druhá </w:t>
      </w:r>
      <w:r w:rsidR="00D80070">
        <w:rPr>
          <w:rFonts w:ascii="Calibri" w:hAnsi="Calibri" w:cs="Calibri"/>
          <w:sz w:val="24"/>
          <w:szCs w:val="24"/>
        </w:rPr>
        <w:t>obla</w:t>
      </w:r>
      <w:r>
        <w:rPr>
          <w:rFonts w:ascii="Calibri" w:hAnsi="Calibri" w:cs="Calibri"/>
          <w:sz w:val="24"/>
          <w:szCs w:val="24"/>
        </w:rPr>
        <w:t>st veřejné zakázky je odběr</w:t>
      </w:r>
      <w:r w:rsidR="00D80070">
        <w:rPr>
          <w:rFonts w:ascii="Calibri" w:hAnsi="Calibri" w:cs="Calibri"/>
          <w:sz w:val="24"/>
          <w:szCs w:val="24"/>
        </w:rPr>
        <w:t>né</w:t>
      </w:r>
      <w:r>
        <w:rPr>
          <w:rFonts w:ascii="Calibri" w:hAnsi="Calibri" w:cs="Calibri"/>
          <w:sz w:val="24"/>
          <w:szCs w:val="24"/>
        </w:rPr>
        <w:t xml:space="preserve"> míst</w:t>
      </w:r>
      <w:r w:rsidR="00D80070">
        <w:rPr>
          <w:rFonts w:ascii="Calibri" w:hAnsi="Calibri" w:cs="Calibri"/>
          <w:sz w:val="24"/>
          <w:szCs w:val="24"/>
        </w:rPr>
        <w:t>o Branické nám. 2, Praha 4. Pro účely přípravy nabídky na toto místo zadavatel uvádí, že předpokládaný roční odběr pro odběrné místo Branické nám. 2, Praha 4 v roce 2018 je 1</w:t>
      </w:r>
      <w:r w:rsidR="00BC660F">
        <w:rPr>
          <w:rFonts w:ascii="Calibri" w:hAnsi="Calibri" w:cs="Calibri"/>
          <w:sz w:val="24"/>
          <w:szCs w:val="24"/>
        </w:rPr>
        <w:t>90</w:t>
      </w:r>
      <w:r w:rsidR="00D800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0070">
        <w:rPr>
          <w:rFonts w:ascii="Calibri" w:hAnsi="Calibri" w:cs="Calibri"/>
          <w:sz w:val="24"/>
          <w:szCs w:val="24"/>
        </w:rPr>
        <w:t>MWh</w:t>
      </w:r>
      <w:proofErr w:type="spellEnd"/>
      <w:r w:rsidR="00D80070">
        <w:rPr>
          <w:rFonts w:ascii="Calibri" w:hAnsi="Calibri" w:cs="Calibri"/>
          <w:sz w:val="24"/>
          <w:szCs w:val="24"/>
        </w:rPr>
        <w:t>. Přehled spotřeby pro odběrné místo Branické náměstí je uveden v příloze č. 3 zadávací dokumentace.</w:t>
      </w:r>
      <w:r w:rsidR="00640B81">
        <w:rPr>
          <w:rFonts w:ascii="Calibri" w:hAnsi="Calibri" w:cs="Calibri"/>
          <w:sz w:val="24"/>
          <w:szCs w:val="24"/>
        </w:rPr>
        <w:t xml:space="preserve"> Distribuční sazba: </w:t>
      </w:r>
      <w:r w:rsidR="00640B81" w:rsidRPr="00640B81">
        <w:rPr>
          <w:b/>
          <w:sz w:val="24"/>
          <w:szCs w:val="24"/>
          <w:highlight w:val="green"/>
        </w:rPr>
        <w:t>napěťová úroveň 22kV (VN); typ měření B</w:t>
      </w:r>
      <w:r w:rsidR="00640B81" w:rsidRPr="00640B81">
        <w:rPr>
          <w:rFonts w:ascii="Calibri" w:hAnsi="Calibri" w:cs="Calibri"/>
          <w:sz w:val="24"/>
          <w:szCs w:val="24"/>
        </w:rPr>
        <w:t>.</w:t>
      </w:r>
    </w:p>
    <w:p w:rsidR="00D83A95" w:rsidRDefault="00D83A95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2CA7" w:rsidRDefault="00662CA7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rámci podání nabídky veřejné zakázky předloží dodavatel návrh smlouvy, který musí respektovat všechny požadavky zadavatele uvedené v této zadávací dokumentaci a nebude obsahovat žádná ujednání, která se bezprostředně netýkají vymezení předmětu dodávek a jejich realizace. Návrh smlouvy a případné obchodní podmínky musí zejména respektovat požadavky stanovené v této zadávací dokumentaci.</w:t>
      </w:r>
    </w:p>
    <w:p w:rsidR="00662CA7" w:rsidRDefault="00662CA7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rámci návrhu smlouvy bude obsažen závazek dodavatele, že bude zadavateli (jakožto odběrateli) dodávat elektřinu vymezenou množstvím a časovým průběhem a vlastním jménem a na vlastní účet zajistí dopravu sjednaného množství elektřiny do odběrných míst specifikovaných v této zadávací dokumentaci a v jejích přílohách.</w:t>
      </w:r>
    </w:p>
    <w:p w:rsidR="00662CA7" w:rsidRDefault="00662CA7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2CA7" w:rsidRDefault="00662CA7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rámci návrhu smlouvy veřejné zakázky bude stanovena cena za dodávky </w:t>
      </w:r>
      <w:r w:rsidRPr="00640B81">
        <w:rPr>
          <w:rFonts w:ascii="Calibri" w:hAnsi="Calibri" w:cs="Calibri"/>
          <w:strike/>
          <w:sz w:val="24"/>
          <w:szCs w:val="24"/>
          <w:highlight w:val="green"/>
        </w:rPr>
        <w:t>a distribuci</w:t>
      </w:r>
      <w:r>
        <w:rPr>
          <w:rFonts w:ascii="Calibri" w:hAnsi="Calibri" w:cs="Calibri"/>
          <w:sz w:val="24"/>
          <w:szCs w:val="24"/>
        </w:rPr>
        <w:t xml:space="preserve"> elektrické energie </w:t>
      </w:r>
      <w:r>
        <w:rPr>
          <w:rFonts w:ascii="Calibri" w:hAnsi="Calibri" w:cs="Calibri"/>
          <w:b/>
          <w:bCs/>
          <w:sz w:val="24"/>
          <w:szCs w:val="24"/>
        </w:rPr>
        <w:t xml:space="preserve">pro jednotlivá odběrní místa </w:t>
      </w:r>
      <w:r>
        <w:rPr>
          <w:rFonts w:ascii="Calibri" w:hAnsi="Calibri" w:cs="Calibri"/>
          <w:sz w:val="24"/>
          <w:szCs w:val="24"/>
        </w:rPr>
        <w:t xml:space="preserve">jakožto </w:t>
      </w:r>
      <w:r w:rsidRPr="00BB72E6">
        <w:rPr>
          <w:rFonts w:cs="Calibri"/>
          <w:b/>
          <w:bCs/>
          <w:sz w:val="24"/>
          <w:szCs w:val="24"/>
        </w:rPr>
        <w:t xml:space="preserve">jednotková </w:t>
      </w:r>
      <w:r w:rsidRPr="00BB72E6">
        <w:rPr>
          <w:rFonts w:cs="Calibri-Bold"/>
          <w:b/>
          <w:bCs/>
          <w:sz w:val="24"/>
          <w:szCs w:val="24"/>
        </w:rPr>
        <w:t xml:space="preserve">cena za 1 </w:t>
      </w:r>
      <w:proofErr w:type="spellStart"/>
      <w:r w:rsidRPr="00BB72E6">
        <w:rPr>
          <w:rFonts w:cs="Calibri-Bold"/>
          <w:b/>
          <w:bCs/>
          <w:sz w:val="24"/>
          <w:szCs w:val="24"/>
        </w:rPr>
        <w:t>MWh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BB72E6" w:rsidRPr="00BB72E6">
        <w:rPr>
          <w:rFonts w:ascii="Calibri" w:hAnsi="Calibri" w:cs="Calibri"/>
          <w:b/>
          <w:sz w:val="24"/>
          <w:szCs w:val="24"/>
        </w:rPr>
        <w:t xml:space="preserve">V krycím listu bude uvedena celková cena za všechna tři odběrná místa za 1 </w:t>
      </w:r>
      <w:proofErr w:type="spellStart"/>
      <w:r w:rsidR="00BB72E6" w:rsidRPr="00BB72E6">
        <w:rPr>
          <w:rFonts w:ascii="Calibri" w:hAnsi="Calibri" w:cs="Calibri"/>
          <w:b/>
          <w:sz w:val="24"/>
          <w:szCs w:val="24"/>
        </w:rPr>
        <w:t>MWh</w:t>
      </w:r>
      <w:proofErr w:type="spellEnd"/>
      <w:r w:rsidR="00BB72E6" w:rsidRPr="00BB72E6">
        <w:rPr>
          <w:rFonts w:ascii="Calibri" w:hAnsi="Calibri" w:cs="Calibri"/>
          <w:b/>
          <w:sz w:val="24"/>
          <w:szCs w:val="24"/>
        </w:rPr>
        <w:t>.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Dodavatel ve smlouvě výslovně specifikuje jednotlivé položky ceny (tj. jaká část ceny za 1 </w:t>
      </w:r>
      <w:proofErr w:type="spellStart"/>
      <w:r>
        <w:rPr>
          <w:rFonts w:ascii="Calibri" w:hAnsi="Calibri" w:cs="Calibri"/>
          <w:sz w:val="24"/>
          <w:szCs w:val="24"/>
        </w:rPr>
        <w:t>MWh</w:t>
      </w:r>
      <w:proofErr w:type="spellEnd"/>
      <w:r>
        <w:rPr>
          <w:rFonts w:ascii="Calibri" w:hAnsi="Calibri" w:cs="Calibri"/>
          <w:sz w:val="24"/>
          <w:szCs w:val="24"/>
        </w:rPr>
        <w:t xml:space="preserve"> připadá na dodávky a jaká část na distribuci), a to včetně jejich výše. </w:t>
      </w:r>
    </w:p>
    <w:p w:rsidR="00662CA7" w:rsidRDefault="00662CA7" w:rsidP="00662C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2CA7" w:rsidRDefault="00662CA7" w:rsidP="008964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návrhu smlouvy bude obsaženo ujednání o tom, že celková cena (jednotková cena) za 1 </w:t>
      </w:r>
      <w:proofErr w:type="spellStart"/>
      <w:r>
        <w:rPr>
          <w:rFonts w:ascii="Calibri" w:hAnsi="Calibri" w:cs="Calibri"/>
          <w:sz w:val="24"/>
          <w:szCs w:val="24"/>
        </w:rPr>
        <w:t>MWh</w:t>
      </w:r>
      <w:proofErr w:type="spellEnd"/>
      <w:r>
        <w:rPr>
          <w:rFonts w:ascii="Calibri" w:hAnsi="Calibri" w:cs="Calibri"/>
          <w:sz w:val="24"/>
          <w:szCs w:val="24"/>
        </w:rPr>
        <w:t xml:space="preserve"> sjednaná ve smlouvě je platná a neměnná po celou dobu trvání smlouvy a nemůže být dodavatelem jednostranně zvýšena, vyjma případů změny příslušné sazby DPH (v takovém</w:t>
      </w:r>
      <w:r w:rsidR="008964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případě se cena zvýší/sníží pouze o částku odpovídající zvýšení/snížení stávající sazby DPH). </w:t>
      </w:r>
      <w:r>
        <w:rPr>
          <w:rFonts w:ascii="Calibri" w:hAnsi="Calibri" w:cs="Calibri"/>
          <w:sz w:val="24"/>
          <w:szCs w:val="24"/>
        </w:rPr>
        <w:lastRenderedPageBreak/>
        <w:t>Sjednaná cena nemůže být zvýšena ani v důsledku nižšího nebo</w:t>
      </w:r>
      <w:r w:rsidR="008964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vyššího odběru, než je předpokládaný odběr, a to bez ohledu na rozsah takové</w:t>
      </w:r>
      <w:r w:rsidR="008964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odchylky.</w:t>
      </w:r>
    </w:p>
    <w:p w:rsidR="00E270BB" w:rsidRDefault="00E270BB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rámci návrhu smlouvy veřejné zakázky bude</w:t>
      </w:r>
      <w:r w:rsidR="00C8615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obsažen závazek dodavatele, kterým převezme odpovědnost za odchylku od</w:t>
      </w:r>
      <w:r w:rsidR="00C8615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předpokládaných ročních odběrů uvedených v zadávací dokumentaci a v</w:t>
      </w:r>
      <w:r w:rsidR="00C8615F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jejích</w:t>
      </w:r>
      <w:r w:rsidR="00C8615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přílohách (směrem nahoru i dolů), a to bez ohledu na velikost odchylky.</w:t>
      </w:r>
    </w:p>
    <w:p w:rsidR="00C8615F" w:rsidRDefault="00C8615F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70BB" w:rsidRDefault="00E270BB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návrhu smlouvy musí být obsažen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závazek dodavatele dodávat zadavateli elektrickou energii v souladu s</w:t>
      </w:r>
      <w:r w:rsidR="005F796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veškerými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platnými právními předpisy a veškerými dotčenými technickými či jinými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odvětvovými normami.</w:t>
      </w:r>
    </w:p>
    <w:p w:rsidR="00E270BB" w:rsidRDefault="00E270BB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návrhu smlouvy bude obsaženo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ujednání, že zúčtovací období se stanovuje jako </w:t>
      </w:r>
      <w:r w:rsidR="00313D4E" w:rsidRPr="00313D4E">
        <w:rPr>
          <w:rFonts w:ascii="Calibri" w:hAnsi="Calibri" w:cs="Calibri"/>
          <w:sz w:val="24"/>
          <w:szCs w:val="24"/>
          <w:highlight w:val="green"/>
        </w:rPr>
        <w:t xml:space="preserve">měsíční </w:t>
      </w:r>
      <w:r w:rsidR="00313D4E">
        <w:rPr>
          <w:rFonts w:ascii="Calibri" w:hAnsi="Calibri" w:cs="Calibri"/>
          <w:sz w:val="24"/>
          <w:szCs w:val="24"/>
          <w:highlight w:val="green"/>
        </w:rPr>
        <w:br/>
        <w:t>(u VN)</w:t>
      </w:r>
      <w:r w:rsidR="00313D4E" w:rsidRPr="00313D4E">
        <w:rPr>
          <w:rFonts w:ascii="Calibri" w:hAnsi="Calibri" w:cs="Calibri"/>
          <w:sz w:val="24"/>
          <w:szCs w:val="24"/>
          <w:highlight w:val="green"/>
        </w:rPr>
        <w:t>/</w:t>
      </w:r>
      <w:r w:rsidR="00313D4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roční (a to včetně uvedení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nejpozdějšího termínu ročního vyúčtování). </w:t>
      </w:r>
      <w:r w:rsidR="005F7961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ále ujednání o tom, že zálohové platby jsou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stanoveny jako měsíční a splatné jsou k datu stanovenému dodavatelem ve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smlouvě.</w:t>
      </w:r>
      <w:r w:rsidR="005F7961"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 xml:space="preserve">usí být </w:t>
      </w:r>
      <w:r w:rsidR="005F7961">
        <w:rPr>
          <w:rFonts w:ascii="Calibri" w:hAnsi="Calibri" w:cs="Calibri"/>
          <w:sz w:val="24"/>
          <w:szCs w:val="24"/>
        </w:rPr>
        <w:t xml:space="preserve">zde </w:t>
      </w:r>
      <w:r>
        <w:rPr>
          <w:rFonts w:ascii="Calibri" w:hAnsi="Calibri" w:cs="Calibri"/>
          <w:sz w:val="24"/>
          <w:szCs w:val="24"/>
        </w:rPr>
        <w:t>obsažen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záva</w:t>
      </w:r>
      <w:r w:rsidR="005F7961">
        <w:rPr>
          <w:rFonts w:ascii="Calibri" w:hAnsi="Calibri" w:cs="Calibri"/>
          <w:sz w:val="24"/>
          <w:szCs w:val="24"/>
        </w:rPr>
        <w:t>zek dodavatele, že do 10. 1. 2020</w:t>
      </w:r>
      <w:r>
        <w:rPr>
          <w:rFonts w:ascii="Calibri" w:hAnsi="Calibri" w:cs="Calibri"/>
          <w:sz w:val="24"/>
          <w:szCs w:val="24"/>
        </w:rPr>
        <w:t xml:space="preserve"> vypracuje a zadavateli zašle předpisy záloh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(samostatně pro každé odběrné místo) na následující zúčtovací ob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dobí.</w:t>
      </w:r>
    </w:p>
    <w:p w:rsidR="005F7961" w:rsidRDefault="005F7961" w:rsidP="00E27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7961" w:rsidRDefault="00E270BB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návrhu smlouvy veřejné zakázky bude obsaženo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ujednání o tom, že od smlouvy na </w:t>
      </w:r>
      <w:r w:rsidR="005F7961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eřejnou zakázku může kterákoli smluvní strana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odstoupit pouze z důvodů stanovených zákonem.</w:t>
      </w:r>
      <w:r w:rsidR="005F7961">
        <w:rPr>
          <w:rFonts w:ascii="Calibri" w:hAnsi="Calibri" w:cs="Calibri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 xml:space="preserve">ude </w:t>
      </w:r>
      <w:r w:rsidR="005F7961">
        <w:rPr>
          <w:rFonts w:ascii="Calibri" w:hAnsi="Calibri" w:cs="Calibri"/>
          <w:sz w:val="24"/>
          <w:szCs w:val="24"/>
        </w:rPr>
        <w:t xml:space="preserve">zde </w:t>
      </w:r>
      <w:r>
        <w:rPr>
          <w:rFonts w:ascii="Calibri" w:hAnsi="Calibri" w:cs="Calibri"/>
          <w:sz w:val="24"/>
          <w:szCs w:val="24"/>
        </w:rPr>
        <w:t>stanoveno,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že dodavatel je povinen mít po celou dobu trvání smluvního vztahu uzavřenou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platnou pojistnou smlouvu, která pokrývá případnou škodu vzniklou v</w:t>
      </w:r>
      <w:r w:rsidR="005F796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důsledku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porušení povinností podle této smlouvy, a to zejména škodu vzniklou v</w:t>
      </w:r>
      <w:r w:rsidR="005F796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důsledku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přerušení dodávek elektrické energie. Výše pojistného musí činit minimálně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5 000 000 Kč. </w:t>
      </w:r>
    </w:p>
    <w:p w:rsidR="005F7961" w:rsidRDefault="005F7961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70BB" w:rsidRDefault="00E270BB" w:rsidP="005F79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7961">
        <w:rPr>
          <w:rFonts w:ascii="Calibri" w:hAnsi="Calibri" w:cs="Calibri"/>
          <w:b/>
          <w:sz w:val="24"/>
          <w:szCs w:val="24"/>
        </w:rPr>
        <w:t xml:space="preserve">Existenci </w:t>
      </w:r>
      <w:r w:rsidR="005F7961" w:rsidRPr="005F7961">
        <w:rPr>
          <w:rFonts w:ascii="Calibri" w:hAnsi="Calibri" w:cs="Calibri"/>
          <w:b/>
          <w:sz w:val="24"/>
          <w:szCs w:val="24"/>
        </w:rPr>
        <w:t xml:space="preserve">pojistného </w:t>
      </w:r>
      <w:r w:rsidRPr="005F7961">
        <w:rPr>
          <w:rFonts w:ascii="Calibri" w:hAnsi="Calibri" w:cs="Calibri"/>
          <w:b/>
          <w:sz w:val="24"/>
          <w:szCs w:val="24"/>
        </w:rPr>
        <w:t xml:space="preserve">smluvního vztahu dodavatel </w:t>
      </w:r>
      <w:r w:rsidR="005F7961" w:rsidRPr="005F7961">
        <w:rPr>
          <w:rFonts w:ascii="Calibri" w:hAnsi="Calibri" w:cs="Calibri"/>
          <w:b/>
          <w:sz w:val="24"/>
          <w:szCs w:val="24"/>
        </w:rPr>
        <w:t>stvrzuje čestným prohlášením, které je součástí nabídky veřejné zakázky.</w:t>
      </w:r>
      <w:r w:rsidR="005F7961">
        <w:rPr>
          <w:rFonts w:ascii="Calibri" w:hAnsi="Calibri" w:cs="Calibri"/>
          <w:sz w:val="24"/>
          <w:szCs w:val="24"/>
        </w:rPr>
        <w:t xml:space="preserve"> Existenci pojistného smluvního vztahu je dodavatel </w:t>
      </w:r>
      <w:r>
        <w:rPr>
          <w:rFonts w:ascii="Calibri" w:hAnsi="Calibri" w:cs="Calibri"/>
          <w:sz w:val="24"/>
          <w:szCs w:val="24"/>
        </w:rPr>
        <w:t>povinen zadavateli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(objednateli) na jeho výzvu bez zbytečného odkladu kdykoli prokázat. Nesplnění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této povinnosti představuje podstatné porušení smlouvy.</w:t>
      </w:r>
    </w:p>
    <w:p w:rsidR="005F7961" w:rsidRDefault="005F7961" w:rsidP="00E27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návrhu smlouvy bude výslovně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uvedeno, že nedílnou součástí smlouvy bude v podobě přílohy též tato zadávací</w:t>
      </w:r>
      <w:r w:rsidR="005F7961">
        <w:rPr>
          <w:rFonts w:ascii="Calibri" w:hAnsi="Calibri" w:cs="Calibri"/>
          <w:sz w:val="24"/>
          <w:szCs w:val="24"/>
        </w:rPr>
        <w:t xml:space="preserve"> dokumentace</w:t>
      </w:r>
      <w:r w:rsidR="00640B81">
        <w:rPr>
          <w:rFonts w:ascii="Calibri" w:hAnsi="Calibri" w:cs="Calibri"/>
          <w:sz w:val="24"/>
          <w:szCs w:val="24"/>
        </w:rPr>
        <w:t xml:space="preserve"> </w:t>
      </w:r>
      <w:r w:rsidR="00640B81" w:rsidRPr="00640B81">
        <w:rPr>
          <w:rFonts w:ascii="Calibri" w:hAnsi="Calibri" w:cs="Calibri"/>
          <w:sz w:val="24"/>
          <w:szCs w:val="24"/>
          <w:highlight w:val="green"/>
        </w:rPr>
        <w:t>(zadávací dokumentace všeobecná a specifikace a podmínky plnění)</w:t>
      </w:r>
      <w:r w:rsidR="005F7961">
        <w:rPr>
          <w:rFonts w:ascii="Calibri" w:hAnsi="Calibri" w:cs="Calibri"/>
          <w:sz w:val="24"/>
          <w:szCs w:val="24"/>
        </w:rPr>
        <w:t xml:space="preserve"> včetně </w:t>
      </w:r>
      <w:r>
        <w:rPr>
          <w:rFonts w:ascii="Calibri" w:hAnsi="Calibri" w:cs="Calibri"/>
          <w:sz w:val="24"/>
          <w:szCs w:val="24"/>
        </w:rPr>
        <w:t>příslušn</w:t>
      </w:r>
      <w:r w:rsidR="00473CC7">
        <w:rPr>
          <w:rFonts w:ascii="Calibri" w:hAnsi="Calibri" w:cs="Calibri"/>
          <w:sz w:val="24"/>
          <w:szCs w:val="24"/>
        </w:rPr>
        <w:t>ých</w:t>
      </w:r>
      <w:r>
        <w:rPr>
          <w:rFonts w:ascii="Calibri" w:hAnsi="Calibri" w:cs="Calibri"/>
          <w:sz w:val="24"/>
          <w:szCs w:val="24"/>
        </w:rPr>
        <w:t xml:space="preserve"> příloh</w:t>
      </w:r>
      <w:r w:rsidR="00640B81">
        <w:rPr>
          <w:rFonts w:ascii="Calibri" w:hAnsi="Calibri" w:cs="Calibri"/>
          <w:sz w:val="24"/>
          <w:szCs w:val="24"/>
        </w:rPr>
        <w:t xml:space="preserve"> </w:t>
      </w:r>
      <w:r w:rsidR="00640B81" w:rsidRPr="00640B81">
        <w:rPr>
          <w:rFonts w:ascii="Calibri" w:hAnsi="Calibri" w:cs="Calibri"/>
          <w:sz w:val="24"/>
          <w:szCs w:val="24"/>
          <w:highlight w:val="green"/>
        </w:rPr>
        <w:t>(spotřeba odběrného místa)</w:t>
      </w:r>
      <w:r>
        <w:rPr>
          <w:rFonts w:ascii="Calibri" w:hAnsi="Calibri" w:cs="Calibri"/>
          <w:sz w:val="24"/>
          <w:szCs w:val="24"/>
        </w:rPr>
        <w:t>.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návrhu smlouvy bude sjednáno, že</w:t>
      </w:r>
      <w:r w:rsidR="007603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 případě, že v průběhu trvání smluvního vztahu vyjde najevo, že některé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ustanovení smlouvy, obchodních či jiných smluvních podmínek odporuje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požadavkům uvedeným v této zadávací dokumentaci, pak se k</w:t>
      </w:r>
      <w:r w:rsidR="005F7961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takovému</w:t>
      </w:r>
      <w:r w:rsidR="005F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ustanovení nepřihlíží.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návrhu smlouvy nesmí být</w:t>
      </w:r>
      <w:r w:rsidR="007603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obsažena ujednání ani obchodní či jiné smluvní podmínky, které by zakládaly právo</w:t>
      </w:r>
      <w:r w:rsidR="007603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dodavatele na</w:t>
      </w:r>
      <w:r w:rsidR="0076034C">
        <w:rPr>
          <w:rFonts w:ascii="Calibri" w:hAnsi="Calibri" w:cs="Calibri"/>
          <w:sz w:val="24"/>
          <w:szCs w:val="24"/>
        </w:rPr>
        <w:t xml:space="preserve"> j</w:t>
      </w:r>
      <w:r>
        <w:rPr>
          <w:rFonts w:ascii="Calibri" w:hAnsi="Calibri" w:cs="Calibri"/>
          <w:sz w:val="24"/>
          <w:szCs w:val="24"/>
        </w:rPr>
        <w:t>ednostrannou změnu smluvních podmínek.</w:t>
      </w:r>
    </w:p>
    <w:p w:rsidR="0076034C" w:rsidRDefault="0076034C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6034C" w:rsidRDefault="0076034C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70BB" w:rsidRPr="00121700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21700">
        <w:rPr>
          <w:rFonts w:ascii="Calibri" w:hAnsi="Calibri" w:cs="Calibri"/>
          <w:b/>
          <w:sz w:val="24"/>
          <w:szCs w:val="24"/>
        </w:rPr>
        <w:t>V návrhu smlouvy veřejné zakázky nesmí být</w:t>
      </w:r>
      <w:r w:rsidR="00BB72E6" w:rsidRPr="00121700">
        <w:rPr>
          <w:rFonts w:ascii="Calibri" w:hAnsi="Calibri" w:cs="Calibri"/>
          <w:b/>
          <w:sz w:val="24"/>
          <w:szCs w:val="24"/>
        </w:rPr>
        <w:t xml:space="preserve"> </w:t>
      </w:r>
      <w:r w:rsidRPr="00121700">
        <w:rPr>
          <w:rFonts w:ascii="Calibri" w:hAnsi="Calibri" w:cs="Calibri"/>
          <w:b/>
          <w:sz w:val="24"/>
          <w:szCs w:val="24"/>
        </w:rPr>
        <w:t>obsažena: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ujednání, která vedou nebo mohou vést k omezení nebo zkrácení práv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zadavatele (odběratele);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ujednání, která vedou nebo mohou vést ke vzniku újmy na straně zadavatele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(odběratele) nebo k založení jeho slabšího postavení ve smluvním vztahu;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ujednání, která jsou zjevně na újmu zadavatele (odběratele), a u kterých lze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důvodně očekávat, že by zadavatel jejich zahrnutí do smluvních podmínek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neinicioval;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d) ujednání o smluvních pokutách, smluvních úrocích z prodlení a jiných</w:t>
      </w:r>
      <w:r w:rsidR="00BB72E6">
        <w:rPr>
          <w:rFonts w:ascii="Calibri" w:hAnsi="Calibri" w:cs="Calibri"/>
          <w:sz w:val="24"/>
          <w:szCs w:val="24"/>
        </w:rPr>
        <w:t xml:space="preserve"> obdobných s</w:t>
      </w:r>
      <w:r>
        <w:rPr>
          <w:rFonts w:ascii="Calibri" w:hAnsi="Calibri" w:cs="Calibri"/>
          <w:sz w:val="24"/>
          <w:szCs w:val="24"/>
        </w:rPr>
        <w:t>ankcích;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ujednání o rozhodčích doložkách, ujednání o místní příslušnosti soudu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nebo o věcné příslušnosti rozhodčího soudu a jiná obdobná ujednání týkající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 řešení případných sporů vzniklých v souvislosti se vznikem, trváním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zánikem smluvního vztahu;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ujednání týkající se úpravy promlčecích lhůt, omezení nároků na náhradu</w:t>
      </w:r>
      <w:r w:rsidR="00BB7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škody, vzdání se práv apod.;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g) ujednání týkající se postoupení pohledávky či postoupení smlouvy.</w:t>
      </w:r>
    </w:p>
    <w:p w:rsidR="00BB72E6" w:rsidRDefault="00BB72E6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Nerespektování požadavků uvedených </w:t>
      </w:r>
      <w:r w:rsidR="005E2DFC">
        <w:rPr>
          <w:rFonts w:ascii="Calibri" w:hAnsi="Calibri" w:cs="Calibri"/>
          <w:sz w:val="24"/>
          <w:szCs w:val="24"/>
        </w:rPr>
        <w:t xml:space="preserve">výše </w:t>
      </w:r>
      <w:r>
        <w:rPr>
          <w:rFonts w:ascii="Calibri" w:hAnsi="Calibri" w:cs="Calibri"/>
          <w:sz w:val="24"/>
          <w:szCs w:val="24"/>
        </w:rPr>
        <w:t>představuje nerespektování zadávacích podmínek a je důvodem pro vyřazení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nabídky a pro vyloučení dodavatele ze zadávacího řízení. Zadavatel s ohledem na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výše uvedené doporučuje, aby dodavatelé </w:t>
      </w:r>
      <w:r w:rsidR="00473CC7">
        <w:rPr>
          <w:rFonts w:ascii="Calibri" w:hAnsi="Calibri" w:cs="Calibri"/>
          <w:sz w:val="24"/>
          <w:szCs w:val="24"/>
        </w:rPr>
        <w:t xml:space="preserve">připojili </w:t>
      </w:r>
      <w:r>
        <w:rPr>
          <w:rFonts w:ascii="Calibri" w:hAnsi="Calibri" w:cs="Calibri"/>
          <w:sz w:val="24"/>
          <w:szCs w:val="24"/>
        </w:rPr>
        <w:t xml:space="preserve">návrh smlouvy v takové podobě, </w:t>
      </w:r>
      <w:r w:rsidR="00473CC7">
        <w:rPr>
          <w:rFonts w:ascii="Calibri" w:hAnsi="Calibri" w:cs="Calibri"/>
          <w:sz w:val="24"/>
          <w:szCs w:val="24"/>
        </w:rPr>
        <w:t>kdy</w:t>
      </w:r>
      <w:r>
        <w:rPr>
          <w:rFonts w:ascii="Calibri" w:hAnsi="Calibri" w:cs="Calibri"/>
          <w:sz w:val="24"/>
          <w:szCs w:val="24"/>
        </w:rPr>
        <w:t xml:space="preserve"> návrh smlouvy bude obsahovat jen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podstatné náležitosti a specifikace, které jsou nezbytné pro realizaci smluvního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vztahu a dostatečně určité vymezení předmětu dodávek.</w:t>
      </w:r>
    </w:p>
    <w:p w:rsidR="00E270BB" w:rsidRDefault="00E270BB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Zadavatel si vyhrazuje právo zadávací řízení veřejné zakázky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zrušit i bez uvedení důvodu, a to v jakékoli fázi zadávacího procesu, tj. kdykoli před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uzavřením smlouvy.</w:t>
      </w:r>
    </w:p>
    <w:p w:rsidR="005E2DFC" w:rsidRDefault="005E2DFC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5E2DFC" w:rsidRDefault="005E2DFC" w:rsidP="005E2DF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Kvalifikace dodavatelů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Kvalifikaci splní dodavatel/účastník zadávacího řízení, který splní profesní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způsobilost a technickou kvalifikaci.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a) </w:t>
      </w:r>
      <w:r>
        <w:rPr>
          <w:rFonts w:ascii="Calibri" w:hAnsi="Calibri" w:cs="Calibri"/>
          <w:b/>
          <w:bCs/>
          <w:sz w:val="24"/>
          <w:szCs w:val="24"/>
        </w:rPr>
        <w:t>Profesní způsobilost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Účastník zadávacího řízení podávající nabídku musí splňovat profesní způsobilost.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Splnění profesní způsobilosti prokáže dodavatel předložením následujících listin: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ve</w:t>
      </w:r>
      <w:proofErr w:type="gramEnd"/>
      <w:r>
        <w:rPr>
          <w:rFonts w:ascii="Calibri" w:hAnsi="Calibri" w:cs="Calibri"/>
          <w:sz w:val="24"/>
          <w:szCs w:val="24"/>
        </w:rPr>
        <w:t xml:space="preserve"> vztahu k České republice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výpis z obchodního rejstříku nebo jiné obdobné</w:t>
      </w:r>
      <w:r w:rsidR="005E2DFC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evidence, pokud jiný právní předpis zápis do takové evidence vyžaduje</w:t>
      </w:r>
      <w:r>
        <w:rPr>
          <w:rFonts w:ascii="Calibri" w:hAnsi="Calibri" w:cs="Calibri"/>
          <w:sz w:val="24"/>
          <w:szCs w:val="24"/>
        </w:rPr>
        <w:t>;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doklad</w:t>
      </w:r>
      <w:proofErr w:type="gramEnd"/>
      <w:r>
        <w:rPr>
          <w:rFonts w:ascii="Calibri" w:hAnsi="Calibri" w:cs="Calibri"/>
          <w:sz w:val="24"/>
          <w:szCs w:val="24"/>
        </w:rPr>
        <w:t xml:space="preserve"> o oprávnění k podnikání v rozsahu odpovídajícím předmětu této veřejné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zakázky, a to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licenci na obchod s elektřinou </w:t>
      </w:r>
      <w:r>
        <w:rPr>
          <w:rFonts w:ascii="Calibri" w:hAnsi="Calibri" w:cs="Calibri"/>
          <w:sz w:val="24"/>
          <w:szCs w:val="24"/>
        </w:rPr>
        <w:t>ve smyslu § 3, § 4 odst. 1 písm. c)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bod 1. a násl. zákona č. 458/2000 Sb., o podmínkách podnikání a o výkonu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státní správy v energetických odvětvích a o změně některých zákonů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(energetický zákon).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Splnění profesní způsobilosti může dodavatel prokázat také předložením výpisu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ze seznamu kvalifikovaných dodavatelů.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b) </w:t>
      </w:r>
      <w:r>
        <w:rPr>
          <w:rFonts w:ascii="Calibri" w:hAnsi="Calibri" w:cs="Calibri"/>
          <w:b/>
          <w:bCs/>
          <w:sz w:val="24"/>
          <w:szCs w:val="24"/>
        </w:rPr>
        <w:t xml:space="preserve">Technická kvalifikace 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prokázání splnění technické kvalifikace pro plnění první části veřejné zakázky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musí </w:t>
      </w:r>
      <w:r w:rsidR="005E2DFC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odavatel předložit: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seznam významných dodávek</w:t>
      </w:r>
      <w:r>
        <w:rPr>
          <w:rFonts w:ascii="Calibri" w:hAnsi="Calibri" w:cs="Calibri"/>
          <w:sz w:val="24"/>
          <w:szCs w:val="24"/>
        </w:rPr>
        <w:t>, z nějž vyplývá, že v posledních 3 letech před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zahájením zadávacího řízení poskytoval minimálně </w:t>
      </w:r>
      <w:r w:rsidR="00473CC7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průběžné dodávky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elektrické energie </w:t>
      </w:r>
      <w:r w:rsidR="005E2DFC">
        <w:rPr>
          <w:rFonts w:ascii="Calibri" w:hAnsi="Calibri" w:cs="Calibri"/>
          <w:sz w:val="24"/>
          <w:szCs w:val="24"/>
        </w:rPr>
        <w:t xml:space="preserve">odpovídající </w:t>
      </w:r>
      <w:r>
        <w:rPr>
          <w:rFonts w:ascii="Calibri" w:hAnsi="Calibri" w:cs="Calibri"/>
          <w:sz w:val="24"/>
          <w:szCs w:val="24"/>
        </w:rPr>
        <w:t>odběrů</w:t>
      </w:r>
      <w:r w:rsidR="005E2DFC">
        <w:rPr>
          <w:rFonts w:ascii="Calibri" w:hAnsi="Calibri" w:cs="Calibri"/>
          <w:sz w:val="24"/>
          <w:szCs w:val="24"/>
        </w:rPr>
        <w:t>m Archivu</w:t>
      </w:r>
      <w:r>
        <w:rPr>
          <w:rFonts w:ascii="Calibri" w:hAnsi="Calibri" w:cs="Calibri"/>
          <w:sz w:val="24"/>
          <w:szCs w:val="24"/>
        </w:rPr>
        <w:t>, přičemž výše uskutečněného odběru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 průběhu jednoho roku (12 po sobě jdoucích kalendářních měsíců bez ohledu</w:t>
      </w:r>
      <w:r w:rsidR="005E2D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 kalendářní rok) činila minimálně </w:t>
      </w:r>
      <w:r w:rsidR="00F31B58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00 </w:t>
      </w:r>
      <w:proofErr w:type="spellStart"/>
      <w:r w:rsidR="005E2DFC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Wh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270BB" w:rsidRDefault="00E270BB" w:rsidP="00F31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 seznamu významných dodávek musí vyplývat rozsah dodávek, jejich cena</w:t>
      </w:r>
      <w:r w:rsidR="00F31B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doba jejich poskytnutí a identifikace objednatele zakázky.</w:t>
      </w:r>
    </w:p>
    <w:p w:rsidR="005E2DFC" w:rsidRDefault="005E2DFC" w:rsidP="00E270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Požadavky na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obsah a </w:t>
      </w:r>
      <w:r>
        <w:rPr>
          <w:rFonts w:ascii="Calibri" w:hAnsi="Calibri" w:cs="Calibri"/>
          <w:b/>
          <w:bCs/>
          <w:sz w:val="24"/>
          <w:szCs w:val="24"/>
        </w:rPr>
        <w:t>zpracování nabídek</w:t>
      </w:r>
    </w:p>
    <w:p w:rsidR="00E270BB" w:rsidRDefault="00056A9C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Podaná n</w:t>
      </w:r>
      <w:r w:rsidR="00E270BB">
        <w:rPr>
          <w:rFonts w:ascii="Calibri" w:hAnsi="Calibri" w:cs="Calibri"/>
          <w:sz w:val="24"/>
          <w:szCs w:val="24"/>
        </w:rPr>
        <w:t>abídka musí obsahovat příslušné</w:t>
      </w:r>
      <w:r>
        <w:rPr>
          <w:rFonts w:ascii="Calibri" w:hAnsi="Calibri" w:cs="Calibri"/>
          <w:sz w:val="24"/>
          <w:szCs w:val="24"/>
        </w:rPr>
        <w:t xml:space="preserve"> </w:t>
      </w:r>
      <w:r w:rsidR="00E270BB">
        <w:rPr>
          <w:rFonts w:ascii="Calibri" w:hAnsi="Calibri" w:cs="Calibri"/>
          <w:sz w:val="24"/>
          <w:szCs w:val="24"/>
        </w:rPr>
        <w:t>listiny prokazující splnění požadavků zadavatele na kvalifikaci v souladu s</w:t>
      </w:r>
      <w:r>
        <w:rPr>
          <w:rFonts w:ascii="Calibri" w:hAnsi="Calibri" w:cs="Calibri"/>
          <w:sz w:val="24"/>
          <w:szCs w:val="24"/>
        </w:rPr>
        <w:t>e</w:t>
      </w:r>
      <w:r w:rsidR="00E270BB">
        <w:rPr>
          <w:rFonts w:ascii="Calibri" w:hAnsi="Calibri" w:cs="Calibri"/>
          <w:sz w:val="24"/>
          <w:szCs w:val="24"/>
        </w:rPr>
        <w:t xml:space="preserve"> zadávací dokumentac</w:t>
      </w:r>
      <w:r>
        <w:rPr>
          <w:rFonts w:ascii="Calibri" w:hAnsi="Calibri" w:cs="Calibri"/>
          <w:sz w:val="24"/>
          <w:szCs w:val="24"/>
        </w:rPr>
        <w:t>í</w:t>
      </w:r>
      <w:r w:rsidR="00E270BB">
        <w:rPr>
          <w:rFonts w:ascii="Calibri" w:hAnsi="Calibri" w:cs="Calibri"/>
          <w:sz w:val="24"/>
          <w:szCs w:val="24"/>
        </w:rPr>
        <w:t>.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Dodavatel v rámci </w:t>
      </w:r>
      <w:r w:rsidR="00056A9C">
        <w:rPr>
          <w:rFonts w:ascii="Calibri" w:hAnsi="Calibri" w:cs="Calibri"/>
          <w:sz w:val="24"/>
          <w:szCs w:val="24"/>
        </w:rPr>
        <w:t xml:space="preserve">podané </w:t>
      </w:r>
      <w:r>
        <w:rPr>
          <w:rFonts w:ascii="Calibri" w:hAnsi="Calibri" w:cs="Calibri"/>
          <w:sz w:val="24"/>
          <w:szCs w:val="24"/>
        </w:rPr>
        <w:t>nabídky předloží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podepsaný návrh smlouvy, který bude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respektovat všechny požadavky uvedené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 této zadávací dokumentaci.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Nabídka </w:t>
      </w:r>
      <w:r w:rsidR="00056A9C">
        <w:rPr>
          <w:rFonts w:ascii="Calibri" w:hAnsi="Calibri" w:cs="Calibri"/>
          <w:sz w:val="24"/>
          <w:szCs w:val="24"/>
        </w:rPr>
        <w:t xml:space="preserve">bude zpracována v českém </w:t>
      </w:r>
      <w:r>
        <w:rPr>
          <w:rFonts w:ascii="Calibri" w:hAnsi="Calibri" w:cs="Calibri"/>
          <w:sz w:val="24"/>
          <w:szCs w:val="24"/>
        </w:rPr>
        <w:t>jazyce (s výjimkou odborných názvů a údajů).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Nabídku lze podat pouze v elektronické podobě prostřednictvím </w:t>
      </w:r>
      <w:r w:rsidR="00056A9C">
        <w:rPr>
          <w:rFonts w:ascii="Calibri" w:hAnsi="Calibri" w:cs="Calibri"/>
          <w:sz w:val="24"/>
          <w:szCs w:val="24"/>
        </w:rPr>
        <w:t xml:space="preserve">portálu </w:t>
      </w:r>
      <w:r>
        <w:rPr>
          <w:rFonts w:ascii="Calibri" w:hAnsi="Calibri" w:cs="Calibri"/>
          <w:sz w:val="24"/>
          <w:szCs w:val="24"/>
        </w:rPr>
        <w:t>zadavatele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 adrese </w:t>
      </w:r>
      <w:r w:rsidR="00056A9C" w:rsidRPr="00056A9C">
        <w:rPr>
          <w:rFonts w:ascii="Calibri" w:hAnsi="Calibri" w:cs="Calibri"/>
          <w:sz w:val="24"/>
          <w:szCs w:val="24"/>
        </w:rPr>
        <w:t>https://nen.nipez.cz/VestnikNEN</w:t>
      </w:r>
      <w:r>
        <w:rPr>
          <w:rFonts w:ascii="Calibri" w:hAnsi="Calibri" w:cs="Calibri"/>
          <w:sz w:val="24"/>
          <w:szCs w:val="24"/>
        </w:rPr>
        <w:t>.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žádné části nabídky nesmí být uvedeny opravy, které by mohly zadavatele uvést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 omyl, a to zejména v cenových položkách.</w:t>
      </w:r>
      <w:r w:rsidR="00056A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Zadavatel vylučuje možnost podání nabídek ve variantách.</w:t>
      </w:r>
    </w:p>
    <w:p w:rsidR="00056A9C" w:rsidRDefault="00056A9C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56A9C" w:rsidRDefault="00056A9C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Lhůta pro podání nabídek, způsob podání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Lhůta pro podání nabídek v elektronické podobě, tj. lhůta, v níž musí být nabídka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 elektronické podobě doručena zadavateli: </w:t>
      </w:r>
      <w:r w:rsidR="00640B81"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>4</w:t>
      </w:r>
      <w:r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 xml:space="preserve">. </w:t>
      </w:r>
      <w:r w:rsidR="00E461EB"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>7</w:t>
      </w:r>
      <w:r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>. 201</w:t>
      </w:r>
      <w:r w:rsidR="00E461EB"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>9</w:t>
      </w:r>
      <w:r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 xml:space="preserve"> do 1</w:t>
      </w:r>
      <w:r w:rsidR="00E461EB"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>2</w:t>
      </w:r>
      <w:r w:rsidRPr="00640B81">
        <w:rPr>
          <w:rFonts w:ascii="Calibri-Bold" w:hAnsi="Calibri-Bold" w:cs="Calibri-Bold"/>
          <w:b/>
          <w:bCs/>
          <w:sz w:val="24"/>
          <w:szCs w:val="24"/>
          <w:highlight w:val="green"/>
        </w:rPr>
        <w:t>:00 hod.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Nabídku nelze podat v listinné podobě. Na nabídky podané v listinné podobě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nebo podané po lhůtě pro podání nabídek nebude brán zřetel.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Nabídka musí být podána v elektronické podobě prostřednictvím </w:t>
      </w:r>
      <w:r w:rsidR="00E461EB">
        <w:rPr>
          <w:rFonts w:ascii="Calibri" w:hAnsi="Calibri" w:cs="Calibri"/>
          <w:sz w:val="24"/>
          <w:szCs w:val="24"/>
        </w:rPr>
        <w:t>portálu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zadavatele na </w:t>
      </w:r>
      <w:r w:rsidR="00627EEA">
        <w:rPr>
          <w:rFonts w:ascii="Calibri" w:hAnsi="Calibri" w:cs="Calibri"/>
          <w:sz w:val="24"/>
          <w:szCs w:val="24"/>
        </w:rPr>
        <w:t xml:space="preserve">adrese </w:t>
      </w:r>
      <w:r w:rsidR="00627EEA" w:rsidRPr="00056A9C">
        <w:rPr>
          <w:rFonts w:ascii="Calibri" w:hAnsi="Calibri" w:cs="Calibri"/>
          <w:sz w:val="24"/>
          <w:szCs w:val="24"/>
        </w:rPr>
        <w:t>https://nen.nipez.cz/VestnikNEN</w:t>
      </w:r>
      <w:r w:rsidR="00627EEA">
        <w:rPr>
          <w:rFonts w:ascii="Calibri" w:hAnsi="Calibri" w:cs="Calibri"/>
          <w:sz w:val="24"/>
          <w:szCs w:val="24"/>
        </w:rPr>
        <w:t>.</w:t>
      </w:r>
    </w:p>
    <w:p w:rsidR="00E270BB" w:rsidRDefault="00E270BB" w:rsidP="00056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Otevírání nabídek v elektronické podobě je neveřejné.</w:t>
      </w:r>
    </w:p>
    <w:p w:rsidR="00627EEA" w:rsidRDefault="00627EEA" w:rsidP="00E27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270BB" w:rsidRDefault="00E270BB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Doručování prostřednictvím profilu </w:t>
      </w:r>
      <w:r>
        <w:rPr>
          <w:rFonts w:ascii="Calibri-Bold" w:hAnsi="Calibri-Bold" w:cs="Calibri-Bold"/>
          <w:b/>
          <w:bCs/>
          <w:sz w:val="24"/>
          <w:szCs w:val="24"/>
        </w:rPr>
        <w:t>zadavatele</w:t>
      </w:r>
    </w:p>
    <w:p w:rsidR="00E270BB" w:rsidRDefault="00E270BB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Veškeré informace k veřejné zakázce (zadávací dokumentace včetně příloh)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 w:rsidR="00E461EB">
        <w:rPr>
          <w:rFonts w:ascii="Calibri" w:hAnsi="Calibri" w:cs="Calibri"/>
          <w:sz w:val="24"/>
          <w:szCs w:val="24"/>
        </w:rPr>
        <w:t>sou neomezeně přístupné na p</w:t>
      </w:r>
      <w:r>
        <w:rPr>
          <w:rFonts w:ascii="Calibri" w:hAnsi="Calibri" w:cs="Calibri"/>
          <w:sz w:val="24"/>
          <w:szCs w:val="24"/>
        </w:rPr>
        <w:t>o</w:t>
      </w:r>
      <w:r w:rsidR="00E461EB">
        <w:rPr>
          <w:rFonts w:ascii="Calibri" w:hAnsi="Calibri" w:cs="Calibri"/>
          <w:sz w:val="24"/>
          <w:szCs w:val="24"/>
        </w:rPr>
        <w:t>rtá</w:t>
      </w:r>
      <w:r>
        <w:rPr>
          <w:rFonts w:ascii="Calibri" w:hAnsi="Calibri" w:cs="Calibri"/>
          <w:sz w:val="24"/>
          <w:szCs w:val="24"/>
        </w:rPr>
        <w:t>l</w:t>
      </w:r>
      <w:r w:rsidR="00E461EB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zadavatele.</w:t>
      </w:r>
    </w:p>
    <w:p w:rsidR="00E270BB" w:rsidRDefault="00E270BB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Zadavatel si tímto vyhrazuje, že sdělení o výběru ekonomicky nejvýhodnější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nabídky, případně sdělení o zrušení veřejné zakázky bude účastníkům zadávacího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řízení doručovat uveřejněním na </w:t>
      </w:r>
      <w:r w:rsidR="00E461EB">
        <w:rPr>
          <w:rFonts w:ascii="Calibri" w:hAnsi="Calibri" w:cs="Calibri"/>
          <w:sz w:val="24"/>
          <w:szCs w:val="24"/>
        </w:rPr>
        <w:t>portál</w:t>
      </w:r>
      <w:r>
        <w:rPr>
          <w:rFonts w:ascii="Calibri" w:hAnsi="Calibri" w:cs="Calibri"/>
          <w:sz w:val="24"/>
          <w:szCs w:val="24"/>
        </w:rPr>
        <w:t>u zadavatele. Sdělení se považuje za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doručené okamžikem jeho uveřejnění na </w:t>
      </w:r>
      <w:r w:rsidR="00E461EB">
        <w:rPr>
          <w:rFonts w:ascii="Calibri" w:hAnsi="Calibri" w:cs="Calibri"/>
          <w:sz w:val="24"/>
          <w:szCs w:val="24"/>
        </w:rPr>
        <w:t>portá</w:t>
      </w:r>
      <w:r>
        <w:rPr>
          <w:rFonts w:ascii="Calibri" w:hAnsi="Calibri" w:cs="Calibri"/>
          <w:sz w:val="24"/>
          <w:szCs w:val="24"/>
        </w:rPr>
        <w:t>lu zadavatele.</w:t>
      </w:r>
    </w:p>
    <w:p w:rsidR="00627EEA" w:rsidRDefault="00627EEA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27EEA" w:rsidRDefault="00627EEA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270BB" w:rsidRDefault="00E270BB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Žádost o vysvětlení, komunikace se zadavatelem</w:t>
      </w:r>
    </w:p>
    <w:p w:rsidR="00E270BB" w:rsidRDefault="00E270BB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případě, že dodavatel požaduje vysvětlení zadávací dokumentace, je oprávněn</w:t>
      </w:r>
      <w:r w:rsidR="00627E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zaslat pí</w:t>
      </w:r>
      <w:r w:rsidR="00627EEA">
        <w:rPr>
          <w:rFonts w:ascii="Calibri" w:hAnsi="Calibri" w:cs="Calibri"/>
          <w:sz w:val="24"/>
          <w:szCs w:val="24"/>
        </w:rPr>
        <w:t>semnou žádost o její poskytnutí prostřednictvím portálu NEN a konkrétní VZ.</w:t>
      </w:r>
    </w:p>
    <w:p w:rsidR="00B1559A" w:rsidRDefault="00B1559A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559A" w:rsidRPr="00B1559A" w:rsidRDefault="00B1559A" w:rsidP="00E461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1559A">
        <w:rPr>
          <w:rFonts w:ascii="Calibri" w:hAnsi="Calibri" w:cs="Calibri"/>
          <w:b/>
          <w:sz w:val="24"/>
          <w:szCs w:val="24"/>
        </w:rPr>
        <w:t xml:space="preserve">Prosím dále o stanovení výše ceny za 1 </w:t>
      </w:r>
      <w:proofErr w:type="spellStart"/>
      <w:r w:rsidRPr="00B1559A">
        <w:rPr>
          <w:rFonts w:ascii="Calibri" w:hAnsi="Calibri" w:cs="Calibri"/>
          <w:b/>
          <w:sz w:val="24"/>
          <w:szCs w:val="24"/>
        </w:rPr>
        <w:t>MWh</w:t>
      </w:r>
      <w:proofErr w:type="spellEnd"/>
      <w:r w:rsidRPr="00B1559A">
        <w:rPr>
          <w:rFonts w:ascii="Calibri" w:hAnsi="Calibri" w:cs="Calibri"/>
          <w:b/>
          <w:sz w:val="24"/>
          <w:szCs w:val="24"/>
        </w:rPr>
        <w:t xml:space="preserve"> u všech odběrních míst pro prodloužení nabídky o rok a to do 31. 12. 2021. Tato cena nebude soutěžní, jedná se pouze o informativní charakter. </w:t>
      </w:r>
    </w:p>
    <w:p w:rsidR="00896486" w:rsidRPr="00B81C26" w:rsidRDefault="00896486" w:rsidP="00E461EB">
      <w:pPr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896486" w:rsidRPr="00B478C1" w:rsidRDefault="00896486" w:rsidP="00E461EB">
      <w:pPr>
        <w:pStyle w:val="Odstavecseseznamem"/>
        <w:jc w:val="both"/>
        <w:rPr>
          <w:b/>
          <w:sz w:val="24"/>
        </w:rPr>
      </w:pPr>
    </w:p>
    <w:p w:rsidR="00896486" w:rsidRPr="00507A62" w:rsidRDefault="00896486" w:rsidP="00E461EB">
      <w:pPr>
        <w:pStyle w:val="Odstavecseseznamem"/>
        <w:jc w:val="both"/>
        <w:rPr>
          <w:b/>
          <w:sz w:val="24"/>
        </w:rPr>
      </w:pPr>
    </w:p>
    <w:p w:rsidR="00896486" w:rsidRPr="00662CA7" w:rsidRDefault="00896486" w:rsidP="00E461E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Celkovou nabídkovou cenu </w:t>
      </w:r>
      <w:r w:rsidR="00B1559A">
        <w:rPr>
          <w:b/>
          <w:color w:val="FF0000"/>
          <w:sz w:val="24"/>
          <w:szCs w:val="24"/>
        </w:rPr>
        <w:t xml:space="preserve">dodávky elektrické energie pro daná odběrní místa pro rok 2020 </w:t>
      </w:r>
      <w:r>
        <w:rPr>
          <w:b/>
          <w:color w:val="FF0000"/>
          <w:sz w:val="24"/>
          <w:szCs w:val="24"/>
        </w:rPr>
        <w:t xml:space="preserve">uveďte do krycího listu nabídky, který musí podepsat oprávněná osoba. Návrh smlouvy podepsaný oprávněnou osobou, musí být součástí nabídky. </w:t>
      </w:r>
    </w:p>
    <w:p w:rsidR="00E270BB" w:rsidRDefault="00E270BB" w:rsidP="00B81C26">
      <w:pPr>
        <w:jc w:val="both"/>
        <w:rPr>
          <w:b/>
          <w:color w:val="FF0000"/>
          <w:sz w:val="24"/>
          <w:szCs w:val="24"/>
        </w:rPr>
      </w:pPr>
    </w:p>
    <w:p w:rsidR="00640B81" w:rsidRPr="00640B81" w:rsidRDefault="00640B81" w:rsidP="00B81C26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Doplnění – Upřesnění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Dobrý den,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proofErr w:type="spellStart"/>
      <w:r w:rsidRPr="00640B81">
        <w:rPr>
          <w:b/>
          <w:sz w:val="24"/>
          <w:szCs w:val="24"/>
          <w:highlight w:val="green"/>
        </w:rPr>
        <w:t>dovolujii</w:t>
      </w:r>
      <w:proofErr w:type="spellEnd"/>
      <w:r w:rsidRPr="00640B81">
        <w:rPr>
          <w:b/>
          <w:sz w:val="24"/>
          <w:szCs w:val="24"/>
          <w:highlight w:val="green"/>
        </w:rPr>
        <w:t xml:space="preserve"> si upřesnit zadávací dokumentaci, která je nepřesná v několika bodech.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1/ Specifikace hodnocení ceny: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Předmětem hodnocení bude nabídková cena za 1 </w:t>
      </w:r>
      <w:proofErr w:type="spellStart"/>
      <w:r w:rsidRPr="00640B81">
        <w:rPr>
          <w:b/>
          <w:sz w:val="24"/>
          <w:szCs w:val="24"/>
          <w:highlight w:val="green"/>
        </w:rPr>
        <w:t>MWh</w:t>
      </w:r>
      <w:proofErr w:type="spellEnd"/>
      <w:r w:rsidRPr="00640B81">
        <w:rPr>
          <w:b/>
          <w:sz w:val="24"/>
          <w:szCs w:val="24"/>
          <w:highlight w:val="green"/>
        </w:rPr>
        <w:t xml:space="preserve"> bez DPH. Regulované ceny za distribuci a poplatky stanovených Energetickým regulačním úřadem nebudou zde uváděny, nebudou </w:t>
      </w:r>
      <w:proofErr w:type="spellStart"/>
      <w:r w:rsidRPr="00640B81">
        <w:rPr>
          <w:b/>
          <w:sz w:val="24"/>
          <w:szCs w:val="24"/>
          <w:highlight w:val="green"/>
        </w:rPr>
        <w:t>součásní</w:t>
      </w:r>
      <w:proofErr w:type="spellEnd"/>
      <w:r w:rsidRPr="00640B81">
        <w:rPr>
          <w:b/>
          <w:sz w:val="24"/>
          <w:szCs w:val="24"/>
          <w:highlight w:val="green"/>
        </w:rPr>
        <w:t xml:space="preserve"> nabídky. Tato konečná cena bude uvedena v Krycím listu a v návrhu smlouvy.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Cena za 1 </w:t>
      </w:r>
      <w:proofErr w:type="spellStart"/>
      <w:r w:rsidRPr="00640B81">
        <w:rPr>
          <w:b/>
          <w:sz w:val="24"/>
          <w:szCs w:val="24"/>
          <w:highlight w:val="green"/>
        </w:rPr>
        <w:t>MWh</w:t>
      </w:r>
      <w:proofErr w:type="spellEnd"/>
      <w:r w:rsidRPr="00640B81">
        <w:rPr>
          <w:b/>
          <w:sz w:val="24"/>
          <w:szCs w:val="24"/>
          <w:highlight w:val="green"/>
        </w:rPr>
        <w:t xml:space="preserve"> sjednaná ve smlouvě je platná a neměnná po celou dobu trvání smlouvy a nemůže být dodavatelem jednostranně zvýšena, vyjma případů změny příslušné sazby DPH.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2/ Distribuční sazba jednotlivých míst: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>Řícmanice - C25d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>Kanice - napěťová úroveň 22kV (VN); typ měření A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>Braník - napěťová úroveň 22kV (VN); typ měření B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>3/ Přílohou sml. bude Zadávací dokumentace, specifikace VZ, roční spotřeba daného místa.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4/ Lhůta podání se řídí termínem v </w:t>
      </w:r>
      <w:proofErr w:type="spellStart"/>
      <w:r w:rsidRPr="00640B81">
        <w:rPr>
          <w:b/>
          <w:sz w:val="24"/>
          <w:szCs w:val="24"/>
          <w:highlight w:val="green"/>
        </w:rPr>
        <w:t>NENu</w:t>
      </w:r>
      <w:proofErr w:type="spellEnd"/>
      <w:r w:rsidRPr="00640B81">
        <w:rPr>
          <w:b/>
          <w:sz w:val="24"/>
          <w:szCs w:val="24"/>
          <w:highlight w:val="green"/>
        </w:rPr>
        <w:t xml:space="preserve">. Tzn. ukončení je 4. 7. 2019 ve 12h.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  <w:r w:rsidRPr="00640B81">
        <w:rPr>
          <w:b/>
          <w:sz w:val="24"/>
          <w:szCs w:val="24"/>
          <w:highlight w:val="green"/>
        </w:rPr>
        <w:t xml:space="preserve">Děkuji za spolupráci. </w:t>
      </w:r>
    </w:p>
    <w:p w:rsidR="00640B81" w:rsidRPr="00640B81" w:rsidRDefault="00640B81" w:rsidP="00640B81">
      <w:pPr>
        <w:jc w:val="both"/>
        <w:rPr>
          <w:b/>
          <w:sz w:val="24"/>
          <w:szCs w:val="24"/>
          <w:highlight w:val="green"/>
        </w:rPr>
      </w:pPr>
    </w:p>
    <w:p w:rsidR="00640B81" w:rsidRPr="00640B81" w:rsidRDefault="00640B81" w:rsidP="00640B81">
      <w:pPr>
        <w:jc w:val="both"/>
        <w:rPr>
          <w:b/>
          <w:sz w:val="24"/>
          <w:szCs w:val="24"/>
        </w:rPr>
      </w:pPr>
      <w:r w:rsidRPr="00640B81">
        <w:rPr>
          <w:b/>
          <w:sz w:val="24"/>
          <w:szCs w:val="24"/>
          <w:highlight w:val="green"/>
        </w:rPr>
        <w:t>Gabriela Kremlová</w:t>
      </w:r>
    </w:p>
    <w:sectPr w:rsidR="00640B81" w:rsidRPr="0064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AE9"/>
    <w:multiLevelType w:val="hybridMultilevel"/>
    <w:tmpl w:val="75965A9C"/>
    <w:lvl w:ilvl="0" w:tplc="83EA3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E"/>
    <w:rsid w:val="00056A9C"/>
    <w:rsid w:val="000E07EF"/>
    <w:rsid w:val="00121700"/>
    <w:rsid w:val="00130C4A"/>
    <w:rsid w:val="00241FF1"/>
    <w:rsid w:val="002C4A5C"/>
    <w:rsid w:val="002F59A4"/>
    <w:rsid w:val="00313D4E"/>
    <w:rsid w:val="00341E69"/>
    <w:rsid w:val="003C01C4"/>
    <w:rsid w:val="003F382D"/>
    <w:rsid w:val="00473CC7"/>
    <w:rsid w:val="0050144F"/>
    <w:rsid w:val="005E2DFC"/>
    <w:rsid w:val="005F6C35"/>
    <w:rsid w:val="005F7961"/>
    <w:rsid w:val="006178B8"/>
    <w:rsid w:val="006261CB"/>
    <w:rsid w:val="00627EEA"/>
    <w:rsid w:val="00640B81"/>
    <w:rsid w:val="00662CA7"/>
    <w:rsid w:val="0067115D"/>
    <w:rsid w:val="0067657B"/>
    <w:rsid w:val="0076034C"/>
    <w:rsid w:val="007835AE"/>
    <w:rsid w:val="0079478B"/>
    <w:rsid w:val="00853B44"/>
    <w:rsid w:val="00896486"/>
    <w:rsid w:val="008C518A"/>
    <w:rsid w:val="008D31BF"/>
    <w:rsid w:val="00912659"/>
    <w:rsid w:val="009447EC"/>
    <w:rsid w:val="00A86675"/>
    <w:rsid w:val="00AF4704"/>
    <w:rsid w:val="00B1559A"/>
    <w:rsid w:val="00B51963"/>
    <w:rsid w:val="00B81C26"/>
    <w:rsid w:val="00BB328E"/>
    <w:rsid w:val="00BB72E6"/>
    <w:rsid w:val="00BC660F"/>
    <w:rsid w:val="00BE0A92"/>
    <w:rsid w:val="00C5387A"/>
    <w:rsid w:val="00C56384"/>
    <w:rsid w:val="00C71943"/>
    <w:rsid w:val="00C8615F"/>
    <w:rsid w:val="00D16567"/>
    <w:rsid w:val="00D80070"/>
    <w:rsid w:val="00D83A95"/>
    <w:rsid w:val="00DC7D7C"/>
    <w:rsid w:val="00DE3F91"/>
    <w:rsid w:val="00E270BB"/>
    <w:rsid w:val="00E277D1"/>
    <w:rsid w:val="00E461EB"/>
    <w:rsid w:val="00E705AA"/>
    <w:rsid w:val="00EB63DD"/>
    <w:rsid w:val="00EF4578"/>
    <w:rsid w:val="00F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F4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AF4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F47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F4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AF4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F47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1714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Miroslav, Ing.</dc:creator>
  <cp:lastModifiedBy>Kremlová Gabriela, Ing., MBA</cp:lastModifiedBy>
  <cp:revision>9</cp:revision>
  <dcterms:created xsi:type="dcterms:W3CDTF">2019-06-14T14:26:00Z</dcterms:created>
  <dcterms:modified xsi:type="dcterms:W3CDTF">2019-06-24T14:22:00Z</dcterms:modified>
</cp:coreProperties>
</file>